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702615" cy="11953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1970" l="0" r="0" t="33828"/>
                    <a:stretch>
                      <a:fillRect/>
                    </a:stretch>
                  </pic:blipFill>
                  <pic:spPr>
                    <a:xfrm>
                      <a:off x="0" y="0"/>
                      <a:ext cx="2702615" cy="11953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EB Garamond" w:cs="EB Garamond" w:eastAsia="EB Garamond" w:hAnsi="EB Garamond"/>
          <w:b w:val="1"/>
          <w:sz w:val="40"/>
          <w:szCs w:val="40"/>
          <w:u w:val="single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40"/>
          <w:szCs w:val="40"/>
          <w:u w:val="single"/>
          <w:rtl w:val="0"/>
        </w:rPr>
        <w:t xml:space="preserve">Emerson College Student Government Association</w:t>
      </w:r>
    </w:p>
    <w:p w:rsidR="00000000" w:rsidDel="00000000" w:rsidP="00000000" w:rsidRDefault="00000000" w:rsidRPr="00000000" w14:paraId="00000003">
      <w:pPr>
        <w:jc w:val="center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SGA President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Nandan Nair</w:t>
      </w:r>
    </w:p>
    <w:p w:rsidR="00000000" w:rsidDel="00000000" w:rsidP="00000000" w:rsidRDefault="00000000" w:rsidRPr="00000000" w14:paraId="00000005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SGA Vice President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Kayla Armbruster </w:t>
      </w:r>
    </w:p>
    <w:p w:rsidR="00000000" w:rsidDel="00000000" w:rsidP="00000000" w:rsidRDefault="00000000" w:rsidRPr="00000000" w14:paraId="00000006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SGA Treasurer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Oliver Katz</w:t>
      </w:r>
    </w:p>
    <w:p w:rsidR="00000000" w:rsidDel="00000000" w:rsidP="00000000" w:rsidRDefault="00000000" w:rsidRPr="00000000" w14:paraId="00000007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Secretary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Olivia DeCesare</w:t>
      </w:r>
    </w:p>
    <w:p w:rsidR="00000000" w:rsidDel="00000000" w:rsidP="00000000" w:rsidRDefault="00000000" w:rsidRPr="00000000" w14:paraId="00000008">
      <w:pPr>
        <w:jc w:val="center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0"/>
          <w:szCs w:val="30"/>
          <w:rtl w:val="0"/>
        </w:rPr>
        <w:t xml:space="preserve">Director of Communications</w:t>
      </w:r>
      <w:r w:rsidDel="00000000" w:rsidR="00000000" w:rsidRPr="00000000">
        <w:rPr>
          <w:rFonts w:ascii="EB Garamond" w:cs="EB Garamond" w:eastAsia="EB Garamond" w:hAnsi="EB Garamond"/>
          <w:sz w:val="30"/>
          <w:szCs w:val="30"/>
          <w:rtl w:val="0"/>
        </w:rPr>
        <w:t xml:space="preserve">: Bryanna Hession</w:t>
      </w:r>
    </w:p>
    <w:p w:rsidR="00000000" w:rsidDel="00000000" w:rsidP="00000000" w:rsidRDefault="00000000" w:rsidRPr="00000000" w14:paraId="00000009">
      <w:pPr>
        <w:jc w:val="left"/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EB Garamond" w:cs="EB Garamond" w:eastAsia="EB Garamond" w:hAnsi="EB Garamon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EB Garamond" w:cs="EB Garamond" w:eastAsia="EB Garamond" w:hAnsi="EB Garamond"/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40"/>
        <w:tblGridChange w:id="0">
          <w:tblGrid>
            <w:gridCol w:w="38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rFonts w:ascii="EB Garamond" w:cs="EB Garamond" w:eastAsia="EB Garamond" w:hAnsi="EB Garamond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sz w:val="30"/>
                <w:szCs w:val="30"/>
                <w:rtl w:val="0"/>
              </w:rPr>
              <w:t xml:space="preserve">Resources:</w:t>
            </w:r>
          </w:p>
          <w:p w:rsidR="00000000" w:rsidDel="00000000" w:rsidP="00000000" w:rsidRDefault="00000000" w:rsidRPr="00000000" w14:paraId="00000014">
            <w:pPr>
              <w:rPr>
                <w:rFonts w:ascii="EB Garamond" w:cs="EB Garamond" w:eastAsia="EB Garamond" w:hAnsi="EB Garamond"/>
                <w:sz w:val="30"/>
                <w:szCs w:val="30"/>
              </w:rPr>
            </w:pPr>
            <w:hyperlink r:id="rId7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sz w:val="30"/>
                  <w:szCs w:val="30"/>
                  <w:u w:val="single"/>
                  <w:rtl w:val="0"/>
                </w:rPr>
                <w:t xml:space="preserve">SGA Constitution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EB Garamond" w:cs="EB Garamond" w:eastAsia="EB Garamond" w:hAnsi="EB Garamond"/>
                <w:sz w:val="30"/>
                <w:szCs w:val="30"/>
              </w:rPr>
            </w:pPr>
            <w:hyperlink r:id="rId8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sz w:val="30"/>
                  <w:szCs w:val="30"/>
                  <w:u w:val="single"/>
                  <w:rtl w:val="0"/>
                </w:rPr>
                <w:t xml:space="preserve">SGA Bylaws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EB Garamond" w:cs="EB Garamond" w:eastAsia="EB Garamond" w:hAnsi="EB Garamond"/>
                <w:sz w:val="30"/>
                <w:szCs w:val="30"/>
              </w:rPr>
            </w:pPr>
            <w:hyperlink r:id="rId9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sz w:val="30"/>
                  <w:szCs w:val="30"/>
                  <w:u w:val="single"/>
                  <w:rtl w:val="0"/>
                </w:rPr>
                <w:t xml:space="preserve">Robert’s Rules Notecard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EB Garamond" w:cs="EB Garamond" w:eastAsia="EB Garamond" w:hAnsi="EB Garamond"/>
                <w:sz w:val="30"/>
                <w:szCs w:val="30"/>
              </w:rPr>
            </w:pPr>
            <w:hyperlink r:id="rId10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sz w:val="30"/>
                  <w:szCs w:val="30"/>
                  <w:u w:val="single"/>
                  <w:rtl w:val="0"/>
                </w:rPr>
                <w:t xml:space="preserve">General Assembly Zoom 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jc w:val="left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NOTICE OF MEETING: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THIS AGENDA will be utilized during the Friday, Feb. 28 Student Government Association General Assembly meeting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beginning at 12:00 p.m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in Walker building, room 417.</w:t>
      </w:r>
    </w:p>
    <w:p w:rsidR="00000000" w:rsidDel="00000000" w:rsidP="00000000" w:rsidRDefault="00000000" w:rsidRPr="00000000" w14:paraId="0000001C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NOTICE OF </w:t>
      </w: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AGENDA</w:t>
      </w: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: </w:t>
      </w:r>
    </w:p>
    <w:p w:rsidR="00000000" w:rsidDel="00000000" w:rsidP="00000000" w:rsidRDefault="00000000" w:rsidRPr="00000000" w14:paraId="0000001E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THE SGA SHALL ENGAGE in the following matters once the meeting is called to order: </w:t>
      </w:r>
    </w:p>
    <w:p w:rsidR="00000000" w:rsidDel="00000000" w:rsidP="00000000" w:rsidRDefault="00000000" w:rsidRPr="00000000" w14:paraId="0000001F">
      <w:pPr>
        <w:jc w:val="center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Call to Order.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(10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What is your dream spring break destination or activity?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ind w:left="216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Olivia’s answer: My </w:t>
      </w:r>
      <w:hyperlink r:id="rId11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DREAM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is to ride in a gondola in Venice.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hyperlink r:id="rId12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Approval of Minutes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(2 minutes)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Introduction of Bylaw creating Chief of Staff position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(2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Introductions and Appointments.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(7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hyperlink r:id="rId13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Endowment Discussion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. (30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Appeals.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(30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hyperlink r:id="rId14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S. Res 2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(30 minutes)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hyperlink r:id="rId15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Senate contact information release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(2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Sen. Jazzy Compton’s Special Interest Project </w:t>
      </w:r>
      <w:hyperlink r:id="rId16">
        <w:r w:rsidDel="00000000" w:rsidR="00000000" w:rsidRPr="00000000">
          <w:rPr>
            <w:rFonts w:ascii="EB Garamond" w:cs="EB Garamond" w:eastAsia="EB Garamond" w:hAnsi="EB Garamond"/>
            <w:color w:val="1155cc"/>
            <w:sz w:val="24"/>
            <w:szCs w:val="24"/>
            <w:u w:val="single"/>
            <w:rtl w:val="0"/>
          </w:rPr>
          <w:t xml:space="preserve">tabling sign-up</w:t>
        </w:r>
      </w:hyperlink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EB Garamond" w:cs="EB Garamond" w:eastAsia="EB Garamond" w:hAnsi="EB Garamond"/>
          <w:i w:val="1"/>
          <w:sz w:val="24"/>
          <w:szCs w:val="24"/>
          <w:rtl w:val="0"/>
        </w:rPr>
        <w:t xml:space="preserve">(2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Open Forum.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sz w:val="24"/>
          <w:szCs w:val="24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Adjournment.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canva.com/design/DAGgQxoDiYw/tGxNpk9PXNA8vwbdKaAusA/view?utm_content=DAGgQxoDiYw&amp;utm_campaign=designshare&amp;utm_medium=link2&amp;utm_source=uniquelinks&amp;utlId=h6197a71a43" TargetMode="External"/><Relationship Id="rId10" Type="http://schemas.openxmlformats.org/officeDocument/2006/relationships/hyperlink" Target="https://emerson.zoom.us/j/99745544880?pwd=qmT5b8d9dGKWdzPZuLdH1SGNyjHHxs.1" TargetMode="External"/><Relationship Id="rId13" Type="http://schemas.openxmlformats.org/officeDocument/2006/relationships/hyperlink" Target="https://docs.google.com/presentation/d/1o1h2hJJEZ0D7iMRhvBiEKVvQcA0BOXdIjTxq_vWKwHo/edit?usp=sharing" TargetMode="External"/><Relationship Id="rId12" Type="http://schemas.openxmlformats.org/officeDocument/2006/relationships/hyperlink" Target="https://docs.google.com/document/d/1F0EwDzR6KdU_myHIt_izpm-8xmICiPAtpHHtj-ZhYgA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e7yV6o_ztRYcBZdp_lBXxteYVT9r5LYI/view?usp=sharing" TargetMode="External"/><Relationship Id="rId15" Type="http://schemas.openxmlformats.org/officeDocument/2006/relationships/hyperlink" Target="https://docs.google.com/forms/d/e/1FAIpQLSd79BHlupZS13jR00YR18ljuX5s66LUOhTCC2YRvSFKehqgtg/viewform?usp=sharing" TargetMode="External"/><Relationship Id="rId14" Type="http://schemas.openxmlformats.org/officeDocument/2006/relationships/hyperlink" Target="https://docs.google.com/document/d/16wCUaOxXf3ghnwQDWY8NOZCofpxvihsqA03O6gFlXGQ/edit?usp=sharing" TargetMode="External"/><Relationship Id="rId16" Type="http://schemas.openxmlformats.org/officeDocument/2006/relationships/hyperlink" Target="https://docs.google.com/document/d/1utnAoDqxs4dXuVkA1ygmkulHwnQ7SsLvKZgP3fMY-i0/edit?usp=sharing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document/d/1Mogkm5yKPLjIJRwr8FdIlgILCHcUx1cIlzhdmhBFUCY/edit?tab=t.0" TargetMode="External"/><Relationship Id="rId8" Type="http://schemas.openxmlformats.org/officeDocument/2006/relationships/hyperlink" Target="https://docs.google.com/document/d/1jywAMxk5gDLQurQl5dUqRwnHv9rxuwekcRqgKF_ZfB0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